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8D5A" w14:textId="5930EA68" w:rsidR="00A1465C" w:rsidRPr="0045176E" w:rsidRDefault="0045176E" w:rsidP="0045176E">
      <w:pPr>
        <w:jc w:val="center"/>
        <w:rPr>
          <w:b/>
          <w:bCs/>
        </w:rPr>
      </w:pPr>
      <w:r w:rsidRPr="0045176E">
        <w:rPr>
          <w:b/>
          <w:bCs/>
        </w:rPr>
        <w:t>CARDS FOR INTERNATIONAL TRAVEL:</w:t>
      </w:r>
    </w:p>
    <w:p w14:paraId="449D7225" w14:textId="65A934AF" w:rsidR="0045176E" w:rsidRPr="0045176E" w:rsidRDefault="0045176E">
      <w:pPr>
        <w:rPr>
          <w:sz w:val="20"/>
          <w:szCs w:val="20"/>
        </w:rPr>
      </w:pPr>
      <w:r w:rsidRPr="0045176E">
        <w:rPr>
          <w:sz w:val="20"/>
          <w:szCs w:val="20"/>
        </w:rPr>
        <w:t>Visa is currently the only card you may use for international travel.</w:t>
      </w:r>
    </w:p>
    <w:p w14:paraId="27570893" w14:textId="520DB5E5" w:rsidR="0045176E" w:rsidRPr="0045176E" w:rsidRDefault="0045176E">
      <w:pPr>
        <w:rPr>
          <w:sz w:val="20"/>
          <w:szCs w:val="20"/>
        </w:rPr>
      </w:pPr>
      <w:r w:rsidRPr="0045176E">
        <w:rPr>
          <w:sz w:val="20"/>
          <w:szCs w:val="20"/>
        </w:rPr>
        <w:t xml:space="preserve">Digital Visa cards can be redeemed internationally, anywhere Visa is accepted, however, please be sure to note the exceptions </w:t>
      </w:r>
      <w:r w:rsidR="005F6771">
        <w:rPr>
          <w:sz w:val="20"/>
          <w:szCs w:val="20"/>
        </w:rPr>
        <w:t xml:space="preserve">of prohibited countries </w:t>
      </w:r>
      <w:r w:rsidRPr="0045176E">
        <w:rPr>
          <w:sz w:val="20"/>
          <w:szCs w:val="20"/>
        </w:rPr>
        <w:t>on the</w:t>
      </w:r>
      <w:r w:rsidR="005F6771">
        <w:rPr>
          <w:sz w:val="20"/>
          <w:szCs w:val="20"/>
        </w:rPr>
        <w:t xml:space="preserve"> Visa Restricted Countries Update on the Shopping Guide.</w:t>
      </w:r>
    </w:p>
    <w:p w14:paraId="3427EE08" w14:textId="2C61AB7D" w:rsidR="0045176E" w:rsidRPr="0045176E" w:rsidRDefault="0045176E">
      <w:pPr>
        <w:rPr>
          <w:sz w:val="20"/>
          <w:szCs w:val="20"/>
        </w:rPr>
      </w:pPr>
      <w:r w:rsidRPr="0045176E">
        <w:rPr>
          <w:sz w:val="20"/>
          <w:szCs w:val="20"/>
        </w:rPr>
        <w:t>If choosing a plastic Visa card, be sure to choose the Visa Plastic “</w:t>
      </w:r>
      <w:r w:rsidRPr="0045176E">
        <w:rPr>
          <w:b/>
          <w:bCs/>
          <w:sz w:val="20"/>
          <w:szCs w:val="20"/>
        </w:rPr>
        <w:t>International</w:t>
      </w:r>
      <w:r w:rsidRPr="0045176E">
        <w:rPr>
          <w:sz w:val="20"/>
          <w:szCs w:val="20"/>
        </w:rPr>
        <w:t xml:space="preserve">” card. </w:t>
      </w:r>
    </w:p>
    <w:p w14:paraId="59896942" w14:textId="64E31D0F" w:rsidR="0045176E" w:rsidRPr="0045176E" w:rsidRDefault="0045176E" w:rsidP="004517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176E">
        <w:rPr>
          <w:sz w:val="20"/>
          <w:szCs w:val="20"/>
        </w:rPr>
        <w:t>International cards are loaded in US dollars</w:t>
      </w:r>
    </w:p>
    <w:p w14:paraId="77DEA907" w14:textId="11D521D4" w:rsidR="0045176E" w:rsidRPr="0045176E" w:rsidRDefault="0045176E" w:rsidP="004517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176E">
        <w:rPr>
          <w:sz w:val="20"/>
          <w:szCs w:val="20"/>
        </w:rPr>
        <w:t>If used outside of the US, the funds are converted into the foreign currency and a 2% currency fee is assessed at point of sale.</w:t>
      </w:r>
    </w:p>
    <w:p w14:paraId="387F6FF3" w14:textId="0B17F27D" w:rsidR="0045176E" w:rsidRPr="0045176E" w:rsidRDefault="0045176E" w:rsidP="004517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176E">
        <w:rPr>
          <w:sz w:val="20"/>
          <w:szCs w:val="20"/>
        </w:rPr>
        <w:t xml:space="preserve">Cards may not be returned, </w:t>
      </w:r>
      <w:proofErr w:type="gramStart"/>
      <w:r w:rsidRPr="0045176E">
        <w:rPr>
          <w:sz w:val="20"/>
          <w:szCs w:val="20"/>
        </w:rPr>
        <w:t>exchanged</w:t>
      </w:r>
      <w:proofErr w:type="gramEnd"/>
      <w:r w:rsidRPr="0045176E">
        <w:rPr>
          <w:sz w:val="20"/>
          <w:szCs w:val="20"/>
        </w:rPr>
        <w:t xml:space="preserve"> or re-issued once expired.</w:t>
      </w:r>
    </w:p>
    <w:p w14:paraId="6E142BAB" w14:textId="77777777" w:rsidR="0045176E" w:rsidRPr="0045176E" w:rsidRDefault="0045176E" w:rsidP="0045176E">
      <w:pPr>
        <w:ind w:left="360"/>
        <w:rPr>
          <w:rFonts w:ascii="Calibri" w:hAnsi="Calibri" w:cs="Calibri"/>
          <w:sz w:val="20"/>
          <w:szCs w:val="20"/>
        </w:rPr>
      </w:pPr>
      <w:r w:rsidRPr="0045176E">
        <w:rPr>
          <w:rFonts w:ascii="Calibri" w:hAnsi="Calibri" w:cs="Calibri"/>
          <w:b/>
          <w:bCs/>
          <w:i/>
          <w:iCs/>
          <w:sz w:val="20"/>
          <w:szCs w:val="20"/>
        </w:rPr>
        <w:t xml:space="preserve">When distributing the codes to the end recipients, please include the product detail below.  (The </w:t>
      </w:r>
      <w:proofErr w:type="gramStart"/>
      <w:r w:rsidRPr="0045176E">
        <w:rPr>
          <w:rFonts w:ascii="Calibri" w:hAnsi="Calibri" w:cs="Calibri"/>
          <w:b/>
          <w:bCs/>
          <w:i/>
          <w:iCs/>
          <w:sz w:val="20"/>
          <w:szCs w:val="20"/>
        </w:rPr>
        <w:t>3 month</w:t>
      </w:r>
      <w:proofErr w:type="gramEnd"/>
      <w:r w:rsidRPr="0045176E">
        <w:rPr>
          <w:rFonts w:ascii="Calibri" w:hAnsi="Calibri" w:cs="Calibri"/>
          <w:b/>
          <w:bCs/>
          <w:i/>
          <w:iCs/>
          <w:sz w:val="20"/>
          <w:szCs w:val="20"/>
        </w:rPr>
        <w:t xml:space="preserve"> expiration begins once you, the requestor, receives the order).</w:t>
      </w:r>
    </w:p>
    <w:tbl>
      <w:tblPr>
        <w:tblW w:w="1050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5176E" w14:paraId="492BF85A" w14:textId="77777777" w:rsidTr="0045176E">
        <w:trPr>
          <w:trHeight w:val="288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1B38" w14:textId="77777777" w:rsidR="0045176E" w:rsidRDefault="0045176E"/>
        </w:tc>
      </w:tr>
      <w:tr w:rsidR="0045176E" w14:paraId="4FC09C2C" w14:textId="77777777" w:rsidTr="0045176E">
        <w:trPr>
          <w:trHeight w:val="288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79B3" w14:textId="77777777" w:rsidR="0045176E" w:rsidRDefault="004517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176E" w14:paraId="094F1A7E" w14:textId="77777777" w:rsidTr="0045176E">
        <w:trPr>
          <w:trHeight w:val="288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1D27" w14:textId="77777777" w:rsidR="0045176E" w:rsidRDefault="0045176E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CUSTOMER REDEMPTION EXPERIENCE:</w:t>
            </w:r>
          </w:p>
        </w:tc>
      </w:tr>
      <w:tr w:rsidR="0045176E" w14:paraId="40B8D6E6" w14:textId="77777777" w:rsidTr="0045176E">
        <w:trPr>
          <w:trHeight w:val="480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80587" w14:textId="77777777" w:rsidR="0045176E" w:rsidRDefault="0045176E" w:rsidP="004517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 The digital VISA code is delivered as a url which carries the value of the digital VISA reward.  When clicked, the url will take the user to the VISA  registration website </w:t>
              </w:r>
              <w:r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</w:rPr>
                <w:t>https://www.prepaiddigitalsolutions.com </w:t>
              </w:r>
              <w:r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and  user will register their token code. </w:t>
              </w:r>
            </w:hyperlink>
          </w:p>
        </w:tc>
      </w:tr>
      <w:tr w:rsidR="0045176E" w14:paraId="6F542B2F" w14:textId="77777777" w:rsidTr="0045176E">
        <w:trPr>
          <w:trHeight w:val="480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FAA4" w14:textId="77777777" w:rsidR="0045176E" w:rsidRDefault="0045176E" w:rsidP="004517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After registration, the user has immediate access to the Visa e-code. This includes the 16-digit VISA card number, along with the card’s security code and expiration date.  The user can start shopping online or via phone immediately wherever VISA is accepted.</w:t>
            </w:r>
          </w:p>
        </w:tc>
      </w:tr>
      <w:tr w:rsidR="0045176E" w14:paraId="0B5DA869" w14:textId="77777777" w:rsidTr="0045176E">
        <w:trPr>
          <w:trHeight w:val="288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A077" w14:textId="77777777" w:rsidR="0045176E" w:rsidRDefault="004517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176E" w14:paraId="16DCFC6D" w14:textId="77777777" w:rsidTr="0045176E">
        <w:trPr>
          <w:trHeight w:val="288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79F2" w14:textId="77777777" w:rsidR="0045176E" w:rsidRDefault="0045176E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CARD EXPIRATION:</w:t>
            </w:r>
          </w:p>
        </w:tc>
      </w:tr>
      <w:tr w:rsidR="0045176E" w14:paraId="56C1914D" w14:textId="77777777" w:rsidTr="0045176E">
        <w:trPr>
          <w:trHeight w:val="480"/>
        </w:trPr>
        <w:tc>
          <w:tcPr>
            <w:tcW w:w="10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AE53" w14:textId="77777777" w:rsidR="0045176E" w:rsidRDefault="0045176E" w:rsidP="00451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The Digital Visa Reward Codes are digital reward cards with a two-step redemption process. User has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3 months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to register the token code and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6 months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from date of card issuance to redeem the digital Visa Reward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Card, once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the token code is registered. No reissue or refund on expired codes or cards</w:t>
            </w:r>
          </w:p>
          <w:p w14:paraId="65487FFD" w14:textId="77777777" w:rsidR="0045176E" w:rsidRDefault="0045176E" w:rsidP="00451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International cards are loaded in US dollars</w:t>
            </w:r>
          </w:p>
          <w:p w14:paraId="296304F2" w14:textId="77777777" w:rsidR="0045176E" w:rsidRDefault="0045176E" w:rsidP="00451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If used outside of the US, the funds are converted into the foreign currency and a 2% currency exchange fee is assessed at point of sale.</w:t>
            </w:r>
          </w:p>
        </w:tc>
      </w:tr>
      <w:tr w:rsidR="0045176E" w14:paraId="4AC3FF11" w14:textId="77777777" w:rsidTr="0045176E">
        <w:trPr>
          <w:trHeight w:val="300"/>
        </w:trPr>
        <w:tc>
          <w:tcPr>
            <w:tcW w:w="10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2B8F" w14:textId="77777777" w:rsidR="0045176E" w:rsidRDefault="0045176E" w:rsidP="0045176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Visa Customer Service:  866-230-3809</w:t>
            </w:r>
          </w:p>
        </w:tc>
      </w:tr>
    </w:tbl>
    <w:p w14:paraId="30BE6ED7" w14:textId="0D7E3E5E" w:rsidR="0045176E" w:rsidRDefault="0045176E" w:rsidP="0045176E"/>
    <w:sectPr w:rsidR="0045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0E88"/>
    <w:multiLevelType w:val="hybridMultilevel"/>
    <w:tmpl w:val="4FD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220"/>
    <w:multiLevelType w:val="hybridMultilevel"/>
    <w:tmpl w:val="B41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4B04"/>
    <w:multiLevelType w:val="hybridMultilevel"/>
    <w:tmpl w:val="3F7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D90"/>
    <w:multiLevelType w:val="hybridMultilevel"/>
    <w:tmpl w:val="D4287C5A"/>
    <w:lvl w:ilvl="0" w:tplc="7F5EC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6E"/>
    <w:rsid w:val="001A6E86"/>
    <w:rsid w:val="0045176E"/>
    <w:rsid w:val="005F6771"/>
    <w:rsid w:val="007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E1A7"/>
  <w15:chartTrackingRefBased/>
  <w15:docId w15:val="{C9FD5FEF-7BA6-46CB-8C25-4CEEAE5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17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60;The%20digital%20VISA%20code%20is%20delivered%20as%20a%20url%20which%20carries%20the%20value%20of%20the%20digital%20VISA%20reward.&#160;%20When%20clicked,%20the%20url%20will%20take%20the%20user%20to%20the%20VISA&#160;%20registration%20website%20https:/www.prepaiddigitalsolutions.com&#160;%20and%20&#160;user%20will%20register%20their%20token%20code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2</cp:revision>
  <dcterms:created xsi:type="dcterms:W3CDTF">2021-08-23T18:29:00Z</dcterms:created>
  <dcterms:modified xsi:type="dcterms:W3CDTF">2021-08-23T18:29:00Z</dcterms:modified>
</cp:coreProperties>
</file>